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CB4B" w14:textId="77777777" w:rsidR="00F433F3" w:rsidRPr="00F433F3" w:rsidRDefault="00F433F3" w:rsidP="00F433F3">
      <w:pPr>
        <w:shd w:val="clear" w:color="auto" w:fill="FFFFFF"/>
        <w:spacing w:after="100" w:afterAutospacing="1"/>
        <w:jc w:val="center"/>
        <w:outlineLvl w:val="0"/>
        <w:rPr>
          <w:rFonts w:ascii="Arial" w:eastAsia="Times New Roman" w:hAnsi="Arial" w:cs="Arial"/>
          <w:b/>
          <w:bCs/>
          <w:color w:val="212529"/>
          <w:kern w:val="36"/>
          <w:sz w:val="48"/>
          <w:szCs w:val="48"/>
          <w:lang w:eastAsia="ru-RU"/>
        </w:rPr>
      </w:pPr>
      <w:bookmarkStart w:id="0" w:name="_GoBack"/>
      <w:bookmarkEnd w:id="0"/>
      <w:r w:rsidRPr="00F433F3">
        <w:rPr>
          <w:rFonts w:ascii="Arial" w:eastAsia="Times New Roman" w:hAnsi="Arial" w:cs="Arial"/>
          <w:b/>
          <w:bCs/>
          <w:color w:val="212529"/>
          <w:kern w:val="36"/>
          <w:sz w:val="48"/>
          <w:szCs w:val="48"/>
          <w:lang w:eastAsia="ru-RU"/>
        </w:rPr>
        <w:t>В центре «Мой бизнес» ответили на актуальные вопросы предпринимателей о самозанятости и семейном бизнесе</w:t>
      </w:r>
    </w:p>
    <w:p w14:paraId="7E82F2B8" w14:textId="77777777" w:rsidR="00F433F3" w:rsidRPr="00F433F3" w:rsidRDefault="00F433F3" w:rsidP="00F433F3">
      <w:pPr>
        <w:spacing w:after="0"/>
        <w:rPr>
          <w:rFonts w:eastAsia="Times New Roman" w:cs="Times New Roman"/>
          <w:sz w:val="24"/>
          <w:szCs w:val="24"/>
          <w:lang w:eastAsia="ru-RU"/>
        </w:rPr>
      </w:pPr>
      <w:r w:rsidRPr="00F433F3">
        <w:rPr>
          <w:rFonts w:eastAsia="Times New Roman" w:cs="Times New Roman"/>
          <w:noProof/>
          <w:sz w:val="24"/>
          <w:szCs w:val="24"/>
          <w:lang w:eastAsia="ru-RU"/>
        </w:rPr>
        <w:drawing>
          <wp:inline distT="0" distB="0" distL="0" distR="0" wp14:anchorId="6575E3D2" wp14:editId="28A5244B">
            <wp:extent cx="2413591" cy="1355380"/>
            <wp:effectExtent l="0" t="0" r="6350" b="0"/>
            <wp:docPr id="1" name="Рисунок 1" descr="В центре «Мой бизнес» ответили на актуальные вопросы предпринимателей о самозанятости и семейном бизне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центре «Мой бизнес» ответили на актуальные вопросы предпринимателей о самозанятости и семейном бизнес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5598" cy="1367739"/>
                    </a:xfrm>
                    <a:prstGeom prst="rect">
                      <a:avLst/>
                    </a:prstGeom>
                    <a:noFill/>
                    <a:ln>
                      <a:noFill/>
                    </a:ln>
                  </pic:spPr>
                </pic:pic>
              </a:graphicData>
            </a:graphic>
          </wp:inline>
        </w:drawing>
      </w:r>
    </w:p>
    <w:p w14:paraId="00A67B8E"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b/>
          <w:bCs/>
          <w:sz w:val="24"/>
          <w:szCs w:val="24"/>
          <w:lang w:eastAsia="ru-RU"/>
        </w:rPr>
        <w:t>Во Владивостоке продолжается краевая «Неделя предпринимательства» — серия семинаров и круглых столов. Приморским предпринимателям рассказали об особенностях ведения семейного бизнеса и регистрации в качестве самозанятого.</w:t>
      </w:r>
    </w:p>
    <w:p w14:paraId="0DDEA0A0"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Как заявила председатель комитета по поддержке и развитию семейного предпринимательства Союза «Приморская торгово-промышленная палата» Валентина Бычкова, в Приморье с прошлого года формируется реестр семейного предпринимательства.</w:t>
      </w:r>
    </w:p>
    <w:p w14:paraId="30C4C9C8"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«Всего в нем сейчас числятся 76 предпринимателей из самых разных отраслей, включая ритуальную. В дальнейшем субъекты реестра смогут формировать предложения по мерам поддержки такого бизнеса», — сказала она.</w:t>
      </w:r>
    </w:p>
    <w:p w14:paraId="087DD0B8" w14:textId="77777777" w:rsidR="00F433F3" w:rsidRPr="00F433F3" w:rsidRDefault="00F433F3" w:rsidP="00F433F3">
      <w:pPr>
        <w:spacing w:after="100" w:afterAutospacing="1"/>
        <w:rPr>
          <w:rFonts w:eastAsia="Times New Roman" w:cs="Times New Roman"/>
          <w:sz w:val="24"/>
          <w:szCs w:val="24"/>
          <w:lang w:eastAsia="ru-RU"/>
        </w:rPr>
      </w:pPr>
      <w:r w:rsidRPr="00F433F3">
        <w:rPr>
          <w:rFonts w:eastAsia="Times New Roman" w:cs="Times New Roman"/>
          <w:noProof/>
          <w:sz w:val="24"/>
          <w:szCs w:val="24"/>
          <w:lang w:eastAsia="ru-RU"/>
        </w:rPr>
        <w:drawing>
          <wp:inline distT="0" distB="0" distL="0" distR="0" wp14:anchorId="2038493C" wp14:editId="76C80938">
            <wp:extent cx="2567893" cy="1711842"/>
            <wp:effectExtent l="0" t="0" r="444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932" cy="1713201"/>
                    </a:xfrm>
                    <a:prstGeom prst="rect">
                      <a:avLst/>
                    </a:prstGeom>
                    <a:noFill/>
                    <a:ln>
                      <a:noFill/>
                    </a:ln>
                  </pic:spPr>
                </pic:pic>
              </a:graphicData>
            </a:graphic>
          </wp:inline>
        </w:drawing>
      </w:r>
    </w:p>
    <w:p w14:paraId="5DBCD083"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Своим видением особенностей ведения семейного бизнеса поделилась генеральный директор сети магазинов «Золотой ажур» Надежда Ткаченко — участница проекта «100 семейных компаний под патронатом Президента ТПП РФ». К работе на предприятии она привлекла сначала среднюю дочь, потом старшую. В вопросах поддержки семейного предпринимательства, считает Надежда Ткаченко, России стоит ориентироваться на опыт зарубежных стран.</w:t>
      </w:r>
    </w:p>
    <w:p w14:paraId="2F98137C" w14:textId="77777777" w:rsidR="00F433F3" w:rsidRPr="00F433F3" w:rsidRDefault="00F433F3" w:rsidP="00F433F3">
      <w:pPr>
        <w:spacing w:after="100" w:afterAutospacing="1"/>
        <w:rPr>
          <w:rFonts w:eastAsia="Times New Roman" w:cs="Times New Roman"/>
          <w:sz w:val="24"/>
          <w:szCs w:val="24"/>
          <w:lang w:eastAsia="ru-RU"/>
        </w:rPr>
      </w:pPr>
      <w:r w:rsidRPr="00F433F3">
        <w:rPr>
          <w:rFonts w:eastAsia="Times New Roman" w:cs="Times New Roman"/>
          <w:noProof/>
          <w:sz w:val="24"/>
          <w:szCs w:val="24"/>
          <w:lang w:eastAsia="ru-RU"/>
        </w:rPr>
        <w:drawing>
          <wp:inline distT="0" distB="0" distL="0" distR="0" wp14:anchorId="006DF264" wp14:editId="6DECD931">
            <wp:extent cx="2260902" cy="1509823"/>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246" cy="1512724"/>
                    </a:xfrm>
                    <a:prstGeom prst="rect">
                      <a:avLst/>
                    </a:prstGeom>
                    <a:noFill/>
                    <a:ln>
                      <a:noFill/>
                    </a:ln>
                  </pic:spPr>
                </pic:pic>
              </a:graphicData>
            </a:graphic>
          </wp:inline>
        </w:drawing>
      </w:r>
    </w:p>
    <w:p w14:paraId="78304EC4" w14:textId="77777777" w:rsidR="00F433F3" w:rsidRPr="00F433F3" w:rsidRDefault="00F433F3" w:rsidP="00F433F3">
      <w:pPr>
        <w:spacing w:after="0"/>
        <w:ind w:firstLine="709"/>
        <w:rPr>
          <w:rFonts w:eastAsia="Times New Roman" w:cs="Times New Roman"/>
          <w:sz w:val="24"/>
          <w:szCs w:val="24"/>
          <w:lang w:eastAsia="ru-RU"/>
        </w:rPr>
      </w:pPr>
      <w:r w:rsidRPr="00F433F3">
        <w:rPr>
          <w:rFonts w:eastAsia="Times New Roman" w:cs="Times New Roman"/>
          <w:sz w:val="24"/>
          <w:szCs w:val="24"/>
          <w:lang w:eastAsia="ru-RU"/>
        </w:rPr>
        <w:t xml:space="preserve">Представитель Школы изящных искусств и интеллектуального развития «Корабль знаний» Валерий </w:t>
      </w:r>
      <w:proofErr w:type="spellStart"/>
      <w:r w:rsidRPr="00F433F3">
        <w:rPr>
          <w:rFonts w:eastAsia="Times New Roman" w:cs="Times New Roman"/>
          <w:sz w:val="24"/>
          <w:szCs w:val="24"/>
          <w:lang w:eastAsia="ru-RU"/>
        </w:rPr>
        <w:t>Евченко</w:t>
      </w:r>
      <w:proofErr w:type="spellEnd"/>
      <w:r w:rsidRPr="00F433F3">
        <w:rPr>
          <w:rFonts w:eastAsia="Times New Roman" w:cs="Times New Roman"/>
          <w:sz w:val="24"/>
          <w:szCs w:val="24"/>
          <w:lang w:eastAsia="ru-RU"/>
        </w:rPr>
        <w:t xml:space="preserve"> — преподаватель в четвертом поколении. Он отметил важность привлечения к семейному предприятию родственников, представляющих разные профессии. Они смогут обратить внимание на моменты, незаметные тем, кто в этом </w:t>
      </w:r>
      <w:r w:rsidRPr="00F433F3">
        <w:rPr>
          <w:rFonts w:eastAsia="Times New Roman" w:cs="Times New Roman"/>
          <w:sz w:val="24"/>
          <w:szCs w:val="24"/>
          <w:lang w:eastAsia="ru-RU"/>
        </w:rPr>
        <w:lastRenderedPageBreak/>
        <w:t>бизнесе давно, и инициировать изменения к лучшему. Кроме того, семейный бизнес позволяет проявлять заботу о представителях старшего поколения, трудоустраивая их на проектах компании.</w:t>
      </w:r>
    </w:p>
    <w:p w14:paraId="704AA36C" w14:textId="77777777" w:rsidR="00F433F3" w:rsidRPr="00F433F3" w:rsidRDefault="00F433F3" w:rsidP="00F433F3">
      <w:pPr>
        <w:spacing w:after="0"/>
        <w:ind w:firstLine="709"/>
        <w:rPr>
          <w:rFonts w:eastAsia="Times New Roman" w:cs="Times New Roman"/>
          <w:sz w:val="24"/>
          <w:szCs w:val="24"/>
          <w:lang w:eastAsia="ru-RU"/>
        </w:rPr>
      </w:pPr>
      <w:r w:rsidRPr="00F433F3">
        <w:rPr>
          <w:rFonts w:eastAsia="Times New Roman" w:cs="Times New Roman"/>
          <w:sz w:val="24"/>
          <w:szCs w:val="24"/>
          <w:lang w:eastAsia="ru-RU"/>
        </w:rPr>
        <w:t>В тренинге по самозанятости приняли участие как опытные самозанятые, так и те, кто только задумывается о переходе на эту систему налогообложения. Последним было интересно узнать, что самозанятый не может стать подрядчиком для компании, в которой трудоустроен, а перейти на эту систему налогообложения могут, в том числе, индивидуальные предприниматели, у которых нет в штате наемных рабочих.</w:t>
      </w:r>
    </w:p>
    <w:p w14:paraId="7A6C4790" w14:textId="77777777" w:rsidR="00F433F3" w:rsidRPr="00F433F3" w:rsidRDefault="00F433F3" w:rsidP="00F433F3">
      <w:pPr>
        <w:spacing w:after="0"/>
        <w:ind w:firstLine="709"/>
        <w:rPr>
          <w:rFonts w:eastAsia="Times New Roman" w:cs="Times New Roman"/>
          <w:sz w:val="24"/>
          <w:szCs w:val="24"/>
          <w:lang w:eastAsia="ru-RU"/>
        </w:rPr>
      </w:pPr>
      <w:r w:rsidRPr="00F433F3">
        <w:rPr>
          <w:rFonts w:eastAsia="Times New Roman" w:cs="Times New Roman"/>
          <w:sz w:val="24"/>
          <w:szCs w:val="24"/>
          <w:lang w:eastAsia="ru-RU"/>
        </w:rPr>
        <w:t>Всего на данный момент в Приморском крае в качестве самозанятых зарегистрировано 17347 человек.</w:t>
      </w:r>
    </w:p>
    <w:p w14:paraId="27025DB8" w14:textId="77777777" w:rsidR="00F433F3" w:rsidRPr="00F433F3" w:rsidRDefault="00F433F3" w:rsidP="00F433F3">
      <w:pPr>
        <w:spacing w:after="100" w:afterAutospacing="1"/>
        <w:rPr>
          <w:rFonts w:eastAsia="Times New Roman" w:cs="Times New Roman"/>
          <w:sz w:val="24"/>
          <w:szCs w:val="24"/>
          <w:lang w:eastAsia="ru-RU"/>
        </w:rPr>
      </w:pPr>
      <w:r w:rsidRPr="00F433F3">
        <w:rPr>
          <w:rFonts w:eastAsia="Times New Roman" w:cs="Times New Roman"/>
          <w:noProof/>
          <w:sz w:val="24"/>
          <w:szCs w:val="24"/>
          <w:lang w:eastAsia="ru-RU"/>
        </w:rPr>
        <w:drawing>
          <wp:inline distT="0" distB="0" distL="0" distR="0" wp14:anchorId="21733707" wp14:editId="7E7354BF">
            <wp:extent cx="2806995" cy="1866382"/>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352" cy="1867284"/>
                    </a:xfrm>
                    <a:prstGeom prst="rect">
                      <a:avLst/>
                    </a:prstGeom>
                    <a:noFill/>
                    <a:ln>
                      <a:noFill/>
                    </a:ln>
                  </pic:spPr>
                </pic:pic>
              </a:graphicData>
            </a:graphic>
          </wp:inline>
        </w:drawing>
      </w:r>
    </w:p>
    <w:p w14:paraId="20D21FCE"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 xml:space="preserve">«Важно понимать, что базой для расчета налога на профессиональный доход является, собственно, доход, то есть сумма, которую вам заплатили за услугу. Если ваши расходы составляют существенный процент от этой суммы (от 60% и выше), то, возможно, есть смысл перейти на упрощенную систему налогообложения “Доходы минус расходы” в статусе индивидуального предпринимателя», — рассказала главный специалист Центра поддержки предпринимательства Приморского края (подразделение центра «Мой бизнес») Юлия </w:t>
      </w:r>
      <w:proofErr w:type="spellStart"/>
      <w:r w:rsidRPr="00F433F3">
        <w:rPr>
          <w:rFonts w:eastAsia="Times New Roman" w:cs="Times New Roman"/>
          <w:sz w:val="24"/>
          <w:szCs w:val="24"/>
          <w:lang w:eastAsia="ru-RU"/>
        </w:rPr>
        <w:t>Селионова</w:t>
      </w:r>
      <w:proofErr w:type="spellEnd"/>
      <w:r w:rsidRPr="00F433F3">
        <w:rPr>
          <w:rFonts w:eastAsia="Times New Roman" w:cs="Times New Roman"/>
          <w:sz w:val="24"/>
          <w:szCs w:val="24"/>
          <w:lang w:eastAsia="ru-RU"/>
        </w:rPr>
        <w:t>.</w:t>
      </w:r>
    </w:p>
    <w:p w14:paraId="381AF203"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Отметим, что финансовую поддержку самозанятых граждан в рамках </w:t>
      </w:r>
      <w:hyperlink r:id="rId9" w:history="1">
        <w:r w:rsidRPr="00F433F3">
          <w:rPr>
            <w:rFonts w:eastAsia="Times New Roman" w:cs="Times New Roman"/>
            <w:color w:val="007BFF"/>
            <w:sz w:val="24"/>
            <w:szCs w:val="24"/>
            <w:u w:val="single"/>
            <w:lang w:eastAsia="ru-RU"/>
          </w:rPr>
          <w:t>национального проекта «МСП и поддержка индивидуальной предпринимательской инициативы»</w:t>
        </w:r>
      </w:hyperlink>
      <w:r w:rsidRPr="00F433F3">
        <w:rPr>
          <w:rFonts w:eastAsia="Times New Roman" w:cs="Times New Roman"/>
          <w:sz w:val="24"/>
          <w:szCs w:val="24"/>
          <w:lang w:eastAsia="ru-RU"/>
        </w:rPr>
        <w:t xml:space="preserve"> в Приморье осуществляют </w:t>
      </w:r>
      <w:proofErr w:type="spellStart"/>
      <w:r w:rsidRPr="00F433F3">
        <w:rPr>
          <w:rFonts w:eastAsia="Times New Roman" w:cs="Times New Roman"/>
          <w:sz w:val="24"/>
          <w:szCs w:val="24"/>
          <w:lang w:eastAsia="ru-RU"/>
        </w:rPr>
        <w:t>Микрокредитная</w:t>
      </w:r>
      <w:proofErr w:type="spellEnd"/>
      <w:r w:rsidRPr="00F433F3">
        <w:rPr>
          <w:rFonts w:eastAsia="Times New Roman" w:cs="Times New Roman"/>
          <w:sz w:val="24"/>
          <w:szCs w:val="24"/>
          <w:lang w:eastAsia="ru-RU"/>
        </w:rPr>
        <w:t xml:space="preserve"> компания </w:t>
      </w:r>
      <w:hyperlink r:id="rId10" w:history="1">
        <w:r w:rsidRPr="00F433F3">
          <w:rPr>
            <w:rFonts w:eastAsia="Times New Roman" w:cs="Times New Roman"/>
            <w:color w:val="007BFF"/>
            <w:sz w:val="24"/>
            <w:szCs w:val="24"/>
            <w:u w:val="single"/>
            <w:lang w:eastAsia="ru-RU"/>
          </w:rPr>
          <w:t>«Фонд развития Приморского края»</w:t>
        </w:r>
      </w:hyperlink>
      <w:r w:rsidRPr="00F433F3">
        <w:rPr>
          <w:rFonts w:eastAsia="Times New Roman" w:cs="Times New Roman"/>
          <w:sz w:val="24"/>
          <w:szCs w:val="24"/>
          <w:lang w:eastAsia="ru-RU"/>
        </w:rPr>
        <w:t> и администрации муниципалитетов, гарантийную – </w:t>
      </w:r>
      <w:hyperlink r:id="rId11" w:history="1">
        <w:r w:rsidRPr="00F433F3">
          <w:rPr>
            <w:rFonts w:eastAsia="Times New Roman" w:cs="Times New Roman"/>
            <w:color w:val="007BFF"/>
            <w:sz w:val="24"/>
            <w:szCs w:val="24"/>
            <w:u w:val="single"/>
            <w:lang w:eastAsia="ru-RU"/>
          </w:rPr>
          <w:t>Гарантийный фонд Приморского края</w:t>
        </w:r>
      </w:hyperlink>
      <w:r w:rsidRPr="00F433F3">
        <w:rPr>
          <w:rFonts w:eastAsia="Times New Roman" w:cs="Times New Roman"/>
          <w:sz w:val="24"/>
          <w:szCs w:val="24"/>
          <w:lang w:eastAsia="ru-RU"/>
        </w:rPr>
        <w:t>, имущественную – </w:t>
      </w:r>
      <w:hyperlink r:id="rId12" w:history="1">
        <w:r w:rsidRPr="00F433F3">
          <w:rPr>
            <w:rFonts w:eastAsia="Times New Roman" w:cs="Times New Roman"/>
            <w:color w:val="007BFF"/>
            <w:sz w:val="24"/>
            <w:szCs w:val="24"/>
            <w:u w:val="single"/>
            <w:lang w:eastAsia="ru-RU"/>
          </w:rPr>
          <w:t>министерство имущественных и земельных отношений Приморского края</w:t>
        </w:r>
      </w:hyperlink>
      <w:r w:rsidRPr="00F433F3">
        <w:rPr>
          <w:rFonts w:eastAsia="Times New Roman" w:cs="Times New Roman"/>
          <w:sz w:val="24"/>
          <w:szCs w:val="24"/>
          <w:lang w:eastAsia="ru-RU"/>
        </w:rPr>
        <w:t> и администрации муниципалитетов, информационно-консультативную – центр </w:t>
      </w:r>
      <w:hyperlink r:id="rId13" w:history="1">
        <w:r w:rsidRPr="00F433F3">
          <w:rPr>
            <w:rFonts w:eastAsia="Times New Roman" w:cs="Times New Roman"/>
            <w:color w:val="007BFF"/>
            <w:sz w:val="24"/>
            <w:szCs w:val="24"/>
            <w:u w:val="single"/>
            <w:lang w:eastAsia="ru-RU"/>
          </w:rPr>
          <w:t>«Мой бизнес»</w:t>
        </w:r>
      </w:hyperlink>
      <w:r w:rsidRPr="00F433F3">
        <w:rPr>
          <w:rFonts w:eastAsia="Times New Roman" w:cs="Times New Roman"/>
          <w:sz w:val="24"/>
          <w:szCs w:val="24"/>
          <w:lang w:eastAsia="ru-RU"/>
        </w:rPr>
        <w:t>.</w:t>
      </w:r>
    </w:p>
    <w:p w14:paraId="7CC31E33"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Подробную информацию про образовательные мероприятия центра «Мой бизнес» можно уточнить по телефону: 8 (423) 279-59-09. Зарегистрироваться, а также узнавать о графике обучающих мероприятий можно сайте центра «Мой бизнес» в разделе «Календарь событий», а также в социальных сетях (cpp25rus): </w:t>
      </w:r>
      <w:proofErr w:type="spellStart"/>
      <w:r w:rsidRPr="00F433F3">
        <w:rPr>
          <w:rFonts w:eastAsia="Times New Roman" w:cs="Times New Roman"/>
          <w:sz w:val="24"/>
          <w:szCs w:val="24"/>
          <w:lang w:eastAsia="ru-RU"/>
        </w:rPr>
        <w:fldChar w:fldCharType="begin"/>
      </w:r>
      <w:r w:rsidRPr="00F433F3">
        <w:rPr>
          <w:rFonts w:eastAsia="Times New Roman" w:cs="Times New Roman"/>
          <w:sz w:val="24"/>
          <w:szCs w:val="24"/>
          <w:lang w:eastAsia="ru-RU"/>
        </w:rPr>
        <w:instrText xml:space="preserve"> HYPERLINK "https://www.facebook.com/Cpp25rus/" </w:instrText>
      </w:r>
      <w:r w:rsidRPr="00F433F3">
        <w:rPr>
          <w:rFonts w:eastAsia="Times New Roman" w:cs="Times New Roman"/>
          <w:sz w:val="24"/>
          <w:szCs w:val="24"/>
          <w:lang w:eastAsia="ru-RU"/>
        </w:rPr>
        <w:fldChar w:fldCharType="separate"/>
      </w:r>
      <w:r w:rsidRPr="00F433F3">
        <w:rPr>
          <w:rFonts w:eastAsia="Times New Roman" w:cs="Times New Roman"/>
          <w:color w:val="007BFF"/>
          <w:sz w:val="24"/>
          <w:szCs w:val="24"/>
          <w:u w:val="single"/>
          <w:lang w:eastAsia="ru-RU"/>
        </w:rPr>
        <w:t>Facebook</w:t>
      </w:r>
      <w:proofErr w:type="spellEnd"/>
      <w:r w:rsidRPr="00F433F3">
        <w:rPr>
          <w:rFonts w:eastAsia="Times New Roman" w:cs="Times New Roman"/>
          <w:sz w:val="24"/>
          <w:szCs w:val="24"/>
          <w:lang w:eastAsia="ru-RU"/>
        </w:rPr>
        <w:fldChar w:fldCharType="end"/>
      </w:r>
      <w:r w:rsidRPr="00F433F3">
        <w:rPr>
          <w:rFonts w:eastAsia="Times New Roman" w:cs="Times New Roman"/>
          <w:sz w:val="24"/>
          <w:szCs w:val="24"/>
          <w:lang w:eastAsia="ru-RU"/>
        </w:rPr>
        <w:t>, </w:t>
      </w:r>
      <w:proofErr w:type="spellStart"/>
      <w:r w:rsidRPr="00F433F3">
        <w:rPr>
          <w:rFonts w:eastAsia="Times New Roman" w:cs="Times New Roman"/>
          <w:sz w:val="24"/>
          <w:szCs w:val="24"/>
          <w:lang w:eastAsia="ru-RU"/>
        </w:rPr>
        <w:fldChar w:fldCharType="begin"/>
      </w:r>
      <w:r w:rsidRPr="00F433F3">
        <w:rPr>
          <w:rFonts w:eastAsia="Times New Roman" w:cs="Times New Roman"/>
          <w:sz w:val="24"/>
          <w:szCs w:val="24"/>
          <w:lang w:eastAsia="ru-RU"/>
        </w:rPr>
        <w:instrText xml:space="preserve"> HYPERLINK "https://www.instagram.com/cpp25rus/" </w:instrText>
      </w:r>
      <w:r w:rsidRPr="00F433F3">
        <w:rPr>
          <w:rFonts w:eastAsia="Times New Roman" w:cs="Times New Roman"/>
          <w:sz w:val="24"/>
          <w:szCs w:val="24"/>
          <w:lang w:eastAsia="ru-RU"/>
        </w:rPr>
        <w:fldChar w:fldCharType="separate"/>
      </w:r>
      <w:r w:rsidRPr="00F433F3">
        <w:rPr>
          <w:rFonts w:eastAsia="Times New Roman" w:cs="Times New Roman"/>
          <w:color w:val="007BFF"/>
          <w:sz w:val="24"/>
          <w:szCs w:val="24"/>
          <w:u w:val="single"/>
          <w:lang w:eastAsia="ru-RU"/>
        </w:rPr>
        <w:t>Instagram</w:t>
      </w:r>
      <w:proofErr w:type="spellEnd"/>
      <w:r w:rsidRPr="00F433F3">
        <w:rPr>
          <w:rFonts w:eastAsia="Times New Roman" w:cs="Times New Roman"/>
          <w:sz w:val="24"/>
          <w:szCs w:val="24"/>
          <w:lang w:eastAsia="ru-RU"/>
        </w:rPr>
        <w:fldChar w:fldCharType="end"/>
      </w:r>
      <w:r w:rsidRPr="00F433F3">
        <w:rPr>
          <w:rFonts w:eastAsia="Times New Roman" w:cs="Times New Roman"/>
          <w:sz w:val="24"/>
          <w:szCs w:val="24"/>
          <w:lang w:eastAsia="ru-RU"/>
        </w:rPr>
        <w:t xml:space="preserve"> и </w:t>
      </w:r>
      <w:proofErr w:type="spellStart"/>
      <w:r w:rsidRPr="00F433F3">
        <w:rPr>
          <w:rFonts w:eastAsia="Times New Roman" w:cs="Times New Roman"/>
          <w:sz w:val="24"/>
          <w:szCs w:val="24"/>
          <w:lang w:eastAsia="ru-RU"/>
        </w:rPr>
        <w:t>Telegram</w:t>
      </w:r>
      <w:proofErr w:type="spellEnd"/>
      <w:r w:rsidRPr="00F433F3">
        <w:rPr>
          <w:rFonts w:eastAsia="Times New Roman" w:cs="Times New Roman"/>
          <w:sz w:val="24"/>
          <w:szCs w:val="24"/>
          <w:lang w:eastAsia="ru-RU"/>
        </w:rPr>
        <w:t>-канале </w:t>
      </w:r>
      <w:hyperlink r:id="rId14" w:history="1">
        <w:r w:rsidRPr="00F433F3">
          <w:rPr>
            <w:rFonts w:eastAsia="Times New Roman" w:cs="Times New Roman"/>
            <w:color w:val="007BFF"/>
            <w:sz w:val="24"/>
            <w:szCs w:val="24"/>
            <w:u w:val="single"/>
            <w:lang w:eastAsia="ru-RU"/>
          </w:rPr>
          <w:t>«Приморье для бизнеса»</w:t>
        </w:r>
      </w:hyperlink>
      <w:r w:rsidRPr="00F433F3">
        <w:rPr>
          <w:rFonts w:eastAsia="Times New Roman" w:cs="Times New Roman"/>
          <w:sz w:val="24"/>
          <w:szCs w:val="24"/>
          <w:lang w:eastAsia="ru-RU"/>
        </w:rPr>
        <w:t>.</w:t>
      </w:r>
    </w:p>
    <w:p w14:paraId="646A84CF" w14:textId="77777777" w:rsidR="00F433F3" w:rsidRPr="00F433F3" w:rsidRDefault="00F433F3" w:rsidP="00F433F3">
      <w:pPr>
        <w:spacing w:after="0"/>
        <w:ind w:firstLine="709"/>
        <w:jc w:val="both"/>
        <w:rPr>
          <w:rFonts w:eastAsia="Times New Roman" w:cs="Times New Roman"/>
          <w:sz w:val="24"/>
          <w:szCs w:val="24"/>
          <w:lang w:eastAsia="ru-RU"/>
        </w:rPr>
      </w:pPr>
      <w:r w:rsidRPr="00F433F3">
        <w:rPr>
          <w:rFonts w:eastAsia="Times New Roman" w:cs="Times New Roman"/>
          <w:sz w:val="24"/>
          <w:szCs w:val="24"/>
          <w:lang w:eastAsia="ru-RU"/>
        </w:rPr>
        <w:t>Отметим, что организация бесплатного обучения для предпринимателей и тех, кто хочет открыть свое дело в Приморье, является одним из ключевых направлений работы центра «Мой бизнес» в рамках </w:t>
      </w:r>
      <w:hyperlink r:id="rId15" w:history="1">
        <w:r w:rsidRPr="00F433F3">
          <w:rPr>
            <w:rFonts w:eastAsia="Times New Roman" w:cs="Times New Roman"/>
            <w:color w:val="007BFF"/>
            <w:sz w:val="24"/>
            <w:szCs w:val="24"/>
            <w:u w:val="single"/>
            <w:lang w:eastAsia="ru-RU"/>
          </w:rPr>
          <w:t>национального проекта «МСП и поддержка индивидуальной предпринимательской инициативы»</w:t>
        </w:r>
      </w:hyperlink>
      <w:r w:rsidRPr="00F433F3">
        <w:rPr>
          <w:rFonts w:eastAsia="Times New Roman" w:cs="Times New Roman"/>
          <w:sz w:val="24"/>
          <w:szCs w:val="24"/>
          <w:lang w:eastAsia="ru-RU"/>
        </w:rPr>
        <w:t>, а также частью большого комплекса мероприятий по улучшению инвестиционного климата в регионе.</w:t>
      </w:r>
    </w:p>
    <w:p w14:paraId="0EC796E2" w14:textId="77777777" w:rsidR="00F12C76" w:rsidRDefault="00F12C76" w:rsidP="00F433F3">
      <w:pPr>
        <w:spacing w:after="0"/>
        <w:ind w:firstLine="709"/>
        <w:jc w:val="both"/>
      </w:pPr>
    </w:p>
    <w:sectPr w:rsidR="00F12C76" w:rsidSect="00F433F3">
      <w:pgSz w:w="11906" w:h="16838" w:code="9"/>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FF8"/>
    <w:multiLevelType w:val="multilevel"/>
    <w:tmpl w:val="30A2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F3"/>
    <w:rsid w:val="006C0B77"/>
    <w:rsid w:val="008242FF"/>
    <w:rsid w:val="00870751"/>
    <w:rsid w:val="00922C48"/>
    <w:rsid w:val="00B915B7"/>
    <w:rsid w:val="00EA59DF"/>
    <w:rsid w:val="00EE4070"/>
    <w:rsid w:val="00F12C76"/>
    <w:rsid w:val="00F4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546F"/>
  <w15:chartTrackingRefBased/>
  <w15:docId w15:val="{0090AE1F-01B6-469D-BBB3-9EB9493D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174">
      <w:bodyDiv w:val="1"/>
      <w:marLeft w:val="0"/>
      <w:marRight w:val="0"/>
      <w:marTop w:val="0"/>
      <w:marBottom w:val="0"/>
      <w:divBdr>
        <w:top w:val="none" w:sz="0" w:space="0" w:color="auto"/>
        <w:left w:val="none" w:sz="0" w:space="0" w:color="auto"/>
        <w:bottom w:val="none" w:sz="0" w:space="0" w:color="auto"/>
        <w:right w:val="none" w:sz="0" w:space="0" w:color="auto"/>
      </w:divBdr>
      <w:divsChild>
        <w:div w:id="2105953947">
          <w:marLeft w:val="-225"/>
          <w:marRight w:val="-225"/>
          <w:marTop w:val="0"/>
          <w:marBottom w:val="0"/>
          <w:divBdr>
            <w:top w:val="none" w:sz="0" w:space="0" w:color="auto"/>
            <w:left w:val="none" w:sz="0" w:space="0" w:color="auto"/>
            <w:bottom w:val="none" w:sz="0" w:space="0" w:color="auto"/>
            <w:right w:val="none" w:sz="0" w:space="0" w:color="auto"/>
          </w:divBdr>
          <w:divsChild>
            <w:div w:id="2087993190">
              <w:marLeft w:val="0"/>
              <w:marRight w:val="0"/>
              <w:marTop w:val="0"/>
              <w:marBottom w:val="0"/>
              <w:divBdr>
                <w:top w:val="none" w:sz="0" w:space="0" w:color="auto"/>
                <w:left w:val="none" w:sz="0" w:space="0" w:color="auto"/>
                <w:bottom w:val="none" w:sz="0" w:space="0" w:color="auto"/>
                <w:right w:val="none" w:sz="0" w:space="0" w:color="auto"/>
              </w:divBdr>
              <w:divsChild>
                <w:div w:id="1218782514">
                  <w:marLeft w:val="0"/>
                  <w:marRight w:val="0"/>
                  <w:marTop w:val="90"/>
                  <w:marBottom w:val="0"/>
                  <w:divBdr>
                    <w:top w:val="none" w:sz="0" w:space="0" w:color="auto"/>
                    <w:left w:val="none" w:sz="0" w:space="0" w:color="auto"/>
                    <w:bottom w:val="none" w:sz="0" w:space="0" w:color="auto"/>
                    <w:right w:val="none" w:sz="0" w:space="0" w:color="auto"/>
                  </w:divBdr>
                  <w:divsChild>
                    <w:div w:id="10558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1236">
              <w:marLeft w:val="0"/>
              <w:marRight w:val="0"/>
              <w:marTop w:val="0"/>
              <w:marBottom w:val="0"/>
              <w:divBdr>
                <w:top w:val="none" w:sz="0" w:space="0" w:color="auto"/>
                <w:left w:val="none" w:sz="0" w:space="0" w:color="auto"/>
                <w:bottom w:val="none" w:sz="0" w:space="0" w:color="auto"/>
                <w:right w:val="none" w:sz="0" w:space="0" w:color="auto"/>
              </w:divBdr>
              <w:divsChild>
                <w:div w:id="12608665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2210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b.primorsky.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rimorsky.ru/authorities/executive-agencies/departments/proper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arantprim.ru/" TargetMode="External"/><Relationship Id="rId5" Type="http://schemas.openxmlformats.org/officeDocument/2006/relationships/image" Target="media/image1.jpeg"/><Relationship Id="rId15" Type="http://schemas.openxmlformats.org/officeDocument/2006/relationships/hyperlink" Target="https://www.primorsky.ru/regionalnye-proekty/msp-i-podderzhka-individualnoy-predprinimatelskoy-initsiativy/" TargetMode="External"/><Relationship Id="rId10" Type="http://schemas.openxmlformats.org/officeDocument/2006/relationships/hyperlink" Target="https://mfoprim.ru/" TargetMode="External"/><Relationship Id="rId4" Type="http://schemas.openxmlformats.org/officeDocument/2006/relationships/webSettings" Target="webSettings.xml"/><Relationship Id="rId9" Type="http://schemas.openxmlformats.org/officeDocument/2006/relationships/hyperlink" Target="https://www.primorsky.ru/regionalnye-proekty/msp-i-podderzhka-individualnoy-predprinimatelskoy-initsiativy/" TargetMode="External"/><Relationship Id="rId14" Type="http://schemas.openxmlformats.org/officeDocument/2006/relationships/hyperlink" Target="https://t.me/investprimor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2021-06-01T01:38:00Z</dcterms:created>
  <dcterms:modified xsi:type="dcterms:W3CDTF">2021-06-01T01:41:00Z</dcterms:modified>
</cp:coreProperties>
</file>